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Копии правоустанавливающих документов на приобретаемое в собственность подопечного недвижимое имущество, право собственности на которое не зарегистрировано в ЕГРН (в случае, если такое право зарегистрировано, - выписки из ЕГРН)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LibreOffice/6.2.3.2$Windows_x86 LibreOffice_project/aecc05fe267cc68dde00352a451aa867b3b546ac</Application>
  <Pages>1</Pages>
  <Words>28</Words>
  <Characters>200</Characters>
  <CharactersWithSpaces>227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2020-04-29T13:24:14Z</dcterms:modified>
  <cp:revision>9</cp:revision>
  <dc:subject/>
  <dc:title/>
</cp:coreProperties>
</file>